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E4" w:rsidRPr="007A4A8C" w:rsidRDefault="00CC21E4" w:rsidP="007A4A8C">
      <w:pPr>
        <w:spacing w:after="0"/>
        <w:rPr>
          <w:b/>
        </w:rPr>
      </w:pPr>
    </w:p>
    <w:p w:rsidR="000B01A4" w:rsidRDefault="00DC4C91" w:rsidP="000B01A4">
      <w:pPr>
        <w:pStyle w:val="ListParagraph"/>
        <w:numPr>
          <w:ilvl w:val="0"/>
          <w:numId w:val="1"/>
        </w:numPr>
        <w:spacing w:after="0"/>
      </w:pPr>
      <w:r>
        <w:t>Working group n</w:t>
      </w:r>
      <w:r w:rsidR="000B01A4" w:rsidRPr="003110FB">
        <w:t>ame:</w:t>
      </w:r>
    </w:p>
    <w:p w:rsidR="00DB0A97" w:rsidRPr="003110FB" w:rsidRDefault="00DB0A97" w:rsidP="00DB0A97">
      <w:pPr>
        <w:pStyle w:val="ListParagraph"/>
        <w:spacing w:after="0"/>
      </w:pPr>
    </w:p>
    <w:p w:rsidR="000B01A4" w:rsidRPr="00DB0A97" w:rsidRDefault="00E84C44" w:rsidP="00DB0A97">
      <w:pPr>
        <w:spacing w:after="0"/>
        <w:ind w:left="720"/>
        <w:rPr>
          <w:i/>
          <w:color w:val="0070C0"/>
        </w:rPr>
      </w:pPr>
      <w:r>
        <w:rPr>
          <w:i/>
          <w:color w:val="0070C0"/>
        </w:rPr>
        <w:t>Consumer Safety, Education and Health</w:t>
      </w:r>
    </w:p>
    <w:p w:rsidR="000B01A4" w:rsidRPr="003110FB" w:rsidRDefault="000B01A4" w:rsidP="000B01A4">
      <w:pPr>
        <w:pStyle w:val="ListParagraph"/>
        <w:spacing w:after="0"/>
      </w:pPr>
    </w:p>
    <w:p w:rsidR="007746E2" w:rsidRDefault="00DC4C91" w:rsidP="007A4A8C">
      <w:pPr>
        <w:pStyle w:val="ListParagraph"/>
        <w:numPr>
          <w:ilvl w:val="0"/>
          <w:numId w:val="1"/>
        </w:numPr>
        <w:spacing w:after="0"/>
      </w:pPr>
      <w:r>
        <w:t>Individual s</w:t>
      </w:r>
      <w:r w:rsidR="007746E2" w:rsidRPr="003110FB">
        <w:t xml:space="preserve">ponsor(s): </w:t>
      </w:r>
    </w:p>
    <w:p w:rsidR="00B606F5" w:rsidRDefault="00B606F5" w:rsidP="00B606F5">
      <w:pPr>
        <w:pStyle w:val="ListParagraph"/>
        <w:spacing w:after="0"/>
      </w:pPr>
    </w:p>
    <w:p w:rsidR="003B0CF5" w:rsidRDefault="00E84C44" w:rsidP="00DB0A97">
      <w:pPr>
        <w:pStyle w:val="ListParagraph"/>
        <w:spacing w:after="0"/>
        <w:rPr>
          <w:i/>
          <w:color w:val="0070C0"/>
        </w:rPr>
      </w:pPr>
      <w:r>
        <w:rPr>
          <w:i/>
          <w:color w:val="0070C0"/>
        </w:rPr>
        <w:t xml:space="preserve">Linda Lang, Director, </w:t>
      </w:r>
      <w:r w:rsidR="003B0CF5">
        <w:rPr>
          <w:i/>
          <w:color w:val="0070C0"/>
        </w:rPr>
        <w:t>Nevada S</w:t>
      </w:r>
      <w:r w:rsidR="00B27F6B">
        <w:rPr>
          <w:i/>
          <w:color w:val="0070C0"/>
        </w:rPr>
        <w:t>tatewide Coalition Partnership</w:t>
      </w:r>
    </w:p>
    <w:p w:rsidR="00BA3A45" w:rsidRDefault="00E84C44" w:rsidP="00DB0A97">
      <w:pPr>
        <w:pStyle w:val="ListParagraph"/>
        <w:spacing w:after="0"/>
        <w:rPr>
          <w:i/>
          <w:color w:val="0070C0"/>
        </w:rPr>
      </w:pPr>
      <w:r>
        <w:rPr>
          <w:i/>
          <w:color w:val="0070C0"/>
        </w:rPr>
        <w:t>Shannon Ernst, Director, Churchill County Social Services</w:t>
      </w:r>
    </w:p>
    <w:p w:rsidR="00BA3A45" w:rsidRDefault="00BA3A45" w:rsidP="00DB0A97">
      <w:pPr>
        <w:pStyle w:val="ListParagraph"/>
        <w:spacing w:after="0"/>
        <w:rPr>
          <w:i/>
          <w:color w:val="0070C0"/>
        </w:rPr>
      </w:pPr>
      <w:r>
        <w:rPr>
          <w:i/>
          <w:color w:val="0070C0"/>
        </w:rPr>
        <w:t>Jen Solas, Wellness Education Cannabis Advocates of Nevada</w:t>
      </w:r>
    </w:p>
    <w:p w:rsidR="00BA3A45" w:rsidRDefault="00BA3A45" w:rsidP="00DB0A97">
      <w:pPr>
        <w:pStyle w:val="ListParagraph"/>
        <w:spacing w:after="0"/>
        <w:rPr>
          <w:i/>
          <w:color w:val="0070C0"/>
        </w:rPr>
      </w:pPr>
    </w:p>
    <w:p w:rsidR="00E84C44" w:rsidRDefault="00BA3A45" w:rsidP="00DB0A97">
      <w:pPr>
        <w:pStyle w:val="ListParagraph"/>
        <w:spacing w:after="0"/>
        <w:rPr>
          <w:i/>
          <w:color w:val="0070C0"/>
        </w:rPr>
      </w:pPr>
      <w:r>
        <w:rPr>
          <w:i/>
          <w:color w:val="0070C0"/>
        </w:rPr>
        <w:t>With input from the Retail Working Group</w:t>
      </w:r>
    </w:p>
    <w:p w:rsidR="003B0CF5" w:rsidRDefault="003B0CF5" w:rsidP="00DB0A97">
      <w:pPr>
        <w:pStyle w:val="ListParagraph"/>
        <w:spacing w:after="0"/>
        <w:rPr>
          <w:i/>
          <w:color w:val="0070C0"/>
        </w:rPr>
      </w:pPr>
    </w:p>
    <w:p w:rsidR="00E9081E" w:rsidRDefault="00DC4C91" w:rsidP="00E9081E">
      <w:pPr>
        <w:pStyle w:val="ListParagraph"/>
        <w:numPr>
          <w:ilvl w:val="0"/>
          <w:numId w:val="1"/>
        </w:numPr>
        <w:spacing w:after="0"/>
      </w:pPr>
      <w:r>
        <w:t>Describe the r</w:t>
      </w:r>
      <w:r w:rsidR="000B01A4" w:rsidRPr="003110FB">
        <w:t>ecommendation:</w:t>
      </w:r>
    </w:p>
    <w:p w:rsidR="00DC7AF7" w:rsidRDefault="00DC7AF7" w:rsidP="00DD6BA5">
      <w:pPr>
        <w:spacing w:after="0"/>
      </w:pPr>
    </w:p>
    <w:p w:rsidR="00DC7AF7" w:rsidRPr="005F57F6" w:rsidRDefault="00DC7AF7" w:rsidP="00DC7AF7">
      <w:pPr>
        <w:spacing w:after="0"/>
        <w:ind w:left="720"/>
        <w:jc w:val="both"/>
        <w:rPr>
          <w:i/>
          <w:color w:val="0070C0"/>
        </w:rPr>
      </w:pPr>
      <w:r w:rsidRPr="005F57F6">
        <w:rPr>
          <w:i/>
          <w:color w:val="0070C0"/>
        </w:rPr>
        <w:t>Currently in the medical marijuana regulations, training requirements are outlin</w:t>
      </w:r>
      <w:r>
        <w:rPr>
          <w:i/>
          <w:color w:val="0070C0"/>
        </w:rPr>
        <w:t>ed for persons who are to be employed as</w:t>
      </w:r>
      <w:r w:rsidRPr="005F57F6">
        <w:rPr>
          <w:i/>
          <w:color w:val="0070C0"/>
        </w:rPr>
        <w:t xml:space="preserve"> agents of the establishments.  Training must be provided before that person begins work or volunteers in the establishment.  </w:t>
      </w:r>
    </w:p>
    <w:p w:rsidR="00DC7AF7" w:rsidRPr="005F57F6" w:rsidRDefault="00DC7AF7" w:rsidP="00DC7AF7">
      <w:pPr>
        <w:spacing w:after="0"/>
        <w:ind w:left="720"/>
        <w:jc w:val="both"/>
        <w:rPr>
          <w:i/>
          <w:color w:val="0070C0"/>
        </w:rPr>
      </w:pPr>
    </w:p>
    <w:p w:rsidR="00DC7AF7" w:rsidRPr="005F57F6" w:rsidRDefault="00DC7AF7" w:rsidP="00DC7AF7">
      <w:pPr>
        <w:spacing w:after="0"/>
        <w:ind w:left="720"/>
        <w:jc w:val="both"/>
        <w:rPr>
          <w:i/>
          <w:color w:val="0070C0"/>
        </w:rPr>
      </w:pPr>
      <w:r w:rsidRPr="005F57F6">
        <w:rPr>
          <w:i/>
          <w:color w:val="0070C0"/>
        </w:rPr>
        <w:t>For the retail marijuana industry in Nevada, which will greatly expand the work force of agents, it is suggested that the current training be built upon to ens</w:t>
      </w:r>
      <w:r>
        <w:rPr>
          <w:i/>
          <w:color w:val="0070C0"/>
        </w:rPr>
        <w:t>ure the health, safety and well</w:t>
      </w:r>
      <w:r w:rsidRPr="005F57F6">
        <w:rPr>
          <w:i/>
          <w:color w:val="0070C0"/>
        </w:rPr>
        <w:t xml:space="preserve">being of the consumers of the product.  </w:t>
      </w:r>
    </w:p>
    <w:p w:rsidR="00DC7AF7" w:rsidRDefault="00DC7AF7" w:rsidP="00DD6BA5">
      <w:pPr>
        <w:spacing w:after="0"/>
      </w:pPr>
    </w:p>
    <w:p w:rsidR="00DC7AF7" w:rsidRDefault="00DC7AF7" w:rsidP="00DC7AF7">
      <w:pPr>
        <w:tabs>
          <w:tab w:val="left" w:pos="810"/>
        </w:tabs>
        <w:ind w:left="720"/>
        <w:jc w:val="both"/>
        <w:rPr>
          <w:rFonts w:eastAsia="Times New Roman" w:cs="Times New Roman"/>
          <w:i/>
          <w:color w:val="0070C0"/>
          <w:szCs w:val="24"/>
        </w:rPr>
      </w:pPr>
      <w:r>
        <w:rPr>
          <w:rFonts w:eastAsia="Times New Roman" w:cs="Times New Roman"/>
          <w:i/>
          <w:color w:val="4472C4" w:themeColor="accent5"/>
          <w:szCs w:val="24"/>
        </w:rPr>
        <w:t>Recommendation:  A</w:t>
      </w:r>
      <w:r w:rsidRPr="003D4FE9">
        <w:rPr>
          <w:rFonts w:eastAsia="Times New Roman" w:cs="Times New Roman"/>
          <w:i/>
          <w:color w:val="4472C4" w:themeColor="accent5"/>
          <w:szCs w:val="24"/>
        </w:rPr>
        <w:t>ny agent of a recreational marijuana establishment will be required to take a marijuana education course</w:t>
      </w:r>
      <w:r>
        <w:rPr>
          <w:rFonts w:eastAsia="Times New Roman" w:cs="Times New Roman"/>
          <w:i/>
          <w:color w:val="4472C4" w:themeColor="accent5"/>
          <w:szCs w:val="24"/>
        </w:rPr>
        <w:t xml:space="preserve">, </w:t>
      </w:r>
      <w:r>
        <w:rPr>
          <w:rFonts w:eastAsia="Times New Roman" w:cs="Times New Roman"/>
          <w:i/>
          <w:color w:val="FF0000"/>
          <w:szCs w:val="24"/>
        </w:rPr>
        <w:t>in addition to w</w:t>
      </w:r>
      <w:r w:rsidR="005A0570">
        <w:rPr>
          <w:rFonts w:eastAsia="Times New Roman" w:cs="Times New Roman"/>
          <w:i/>
          <w:color w:val="FF0000"/>
          <w:szCs w:val="24"/>
        </w:rPr>
        <w:t>hat is currently required in NAC 453A.336</w:t>
      </w:r>
      <w:r>
        <w:rPr>
          <w:rFonts w:eastAsia="Times New Roman" w:cs="Times New Roman"/>
          <w:i/>
          <w:color w:val="FF0000"/>
          <w:szCs w:val="24"/>
        </w:rPr>
        <w:t xml:space="preserve"> for medical marijuana establishments,</w:t>
      </w:r>
      <w:r w:rsidRPr="003D4FE9">
        <w:rPr>
          <w:rFonts w:eastAsia="Times New Roman" w:cs="Times New Roman"/>
          <w:i/>
          <w:color w:val="4472C4" w:themeColor="accent5"/>
          <w:szCs w:val="24"/>
        </w:rPr>
        <w:t xml:space="preserve"> in order to obtain a marijuana agent card. This course should meet</w:t>
      </w:r>
      <w:r w:rsidRPr="00F53AC3">
        <w:rPr>
          <w:rFonts w:eastAsia="Times New Roman" w:cs="Times New Roman"/>
          <w:i/>
          <w:color w:val="0070C0"/>
          <w:szCs w:val="24"/>
        </w:rPr>
        <w:t xml:space="preserve"> the minimum standard requirements as determined by the Department, and be a minimum of 2.5 hours of training. Proof of successful completion must be submitted to the Department before an agent begins unsupervised employment. </w:t>
      </w:r>
    </w:p>
    <w:p w:rsidR="00DC7AF7" w:rsidRDefault="00DC7AF7" w:rsidP="00DC7AF7">
      <w:pPr>
        <w:tabs>
          <w:tab w:val="left" w:pos="810"/>
        </w:tabs>
        <w:ind w:left="720"/>
        <w:jc w:val="both"/>
        <w:rPr>
          <w:rFonts w:eastAsia="Times New Roman" w:cs="Times New Roman"/>
          <w:i/>
          <w:color w:val="0070C0"/>
          <w:szCs w:val="24"/>
        </w:rPr>
      </w:pPr>
      <w:r>
        <w:rPr>
          <w:rFonts w:eastAsia="Times New Roman" w:cs="Times New Roman"/>
          <w:i/>
          <w:color w:val="0070C0"/>
          <w:szCs w:val="24"/>
        </w:rPr>
        <w:t>A responsible marijuana</w:t>
      </w:r>
      <w:r w:rsidRPr="00243FE1">
        <w:rPr>
          <w:rFonts w:eastAsia="Times New Roman" w:cs="Times New Roman"/>
          <w:i/>
          <w:color w:val="0070C0"/>
          <w:szCs w:val="24"/>
        </w:rPr>
        <w:t xml:space="preserve"> </w:t>
      </w:r>
      <w:r>
        <w:rPr>
          <w:rFonts w:eastAsia="Times New Roman" w:cs="Times New Roman"/>
          <w:i/>
          <w:color w:val="0070C0"/>
          <w:szCs w:val="24"/>
        </w:rPr>
        <w:t xml:space="preserve">agent </w:t>
      </w:r>
      <w:r w:rsidRPr="00243FE1">
        <w:rPr>
          <w:rFonts w:eastAsia="Times New Roman" w:cs="Times New Roman"/>
          <w:i/>
          <w:color w:val="0070C0"/>
          <w:szCs w:val="24"/>
        </w:rPr>
        <w:t xml:space="preserve">training </w:t>
      </w:r>
      <w:r>
        <w:rPr>
          <w:rFonts w:eastAsia="Times New Roman" w:cs="Times New Roman"/>
          <w:i/>
          <w:color w:val="0070C0"/>
          <w:szCs w:val="24"/>
        </w:rPr>
        <w:t>will ensure that establishments who are in the business of marijuana understand the marijuana laws in their State and that they will distribute and sell marijuana and marijuana products responsibly. A consistent and responsible marijuana agent training program will</w:t>
      </w:r>
      <w:r w:rsidRPr="00243FE1">
        <w:rPr>
          <w:rFonts w:eastAsia="Times New Roman" w:cs="Times New Roman"/>
          <w:i/>
          <w:color w:val="0070C0"/>
          <w:szCs w:val="24"/>
        </w:rPr>
        <w:t xml:space="preserve"> significantly reduce the risk and l</w:t>
      </w:r>
      <w:r>
        <w:rPr>
          <w:rFonts w:eastAsia="Times New Roman" w:cs="Times New Roman"/>
          <w:i/>
          <w:color w:val="0070C0"/>
          <w:szCs w:val="24"/>
        </w:rPr>
        <w:t xml:space="preserve">iability associated with marijuana sales for the State.  </w:t>
      </w:r>
    </w:p>
    <w:p w:rsidR="00DC7AF7" w:rsidRPr="00F53AC3" w:rsidRDefault="00DC7AF7" w:rsidP="00DC7AF7">
      <w:pPr>
        <w:tabs>
          <w:tab w:val="left" w:pos="810"/>
        </w:tabs>
        <w:ind w:left="720"/>
        <w:jc w:val="both"/>
        <w:rPr>
          <w:i/>
          <w:color w:val="0070C0"/>
          <w:szCs w:val="24"/>
        </w:rPr>
      </w:pPr>
      <w:r w:rsidRPr="00F53AC3">
        <w:rPr>
          <w:i/>
          <w:color w:val="0070C0"/>
          <w:szCs w:val="24"/>
        </w:rPr>
        <w:t>Recommended requirements and policies are based on best practices used in other states and Nevada’s responsible alcohol vendor training requirements</w:t>
      </w:r>
      <w:r w:rsidR="005A0570">
        <w:rPr>
          <w:i/>
          <w:color w:val="0070C0"/>
          <w:szCs w:val="24"/>
        </w:rPr>
        <w:t xml:space="preserve"> </w:t>
      </w:r>
      <w:r w:rsidR="00855D6B" w:rsidRPr="00855D6B">
        <w:rPr>
          <w:i/>
          <w:color w:val="FF0000"/>
          <w:szCs w:val="24"/>
        </w:rPr>
        <w:t>(</w:t>
      </w:r>
      <w:r w:rsidR="00376011" w:rsidRPr="00855D6B">
        <w:rPr>
          <w:i/>
          <w:color w:val="FF0000"/>
          <w:szCs w:val="24"/>
        </w:rPr>
        <w:t>NRS 369</w:t>
      </w:r>
      <w:r w:rsidR="00376011">
        <w:rPr>
          <w:i/>
          <w:color w:val="FF0000"/>
          <w:szCs w:val="24"/>
        </w:rPr>
        <w:t>.600 – 369.635</w:t>
      </w:r>
      <w:r w:rsidR="005A0570">
        <w:rPr>
          <w:i/>
          <w:color w:val="FF0000"/>
          <w:szCs w:val="24"/>
        </w:rPr>
        <w:t>)</w:t>
      </w:r>
      <w:r w:rsidRPr="00F53AC3">
        <w:rPr>
          <w:i/>
          <w:color w:val="0070C0"/>
          <w:szCs w:val="24"/>
        </w:rPr>
        <w:t>.</w:t>
      </w:r>
      <w:r>
        <w:rPr>
          <w:i/>
          <w:color w:val="0070C0"/>
          <w:szCs w:val="24"/>
        </w:rPr>
        <w:t xml:space="preserve"> The administration of this additional training will be offered through an outside vendor that has been approved by the Department </w:t>
      </w:r>
      <w:r w:rsidRPr="00DC7AF7">
        <w:rPr>
          <w:i/>
          <w:color w:val="FF0000"/>
          <w:szCs w:val="24"/>
        </w:rPr>
        <w:t>or the Chief Medical Officer</w:t>
      </w:r>
      <w:r>
        <w:rPr>
          <w:i/>
          <w:color w:val="0070C0"/>
          <w:szCs w:val="24"/>
        </w:rPr>
        <w:t>. This system will model the current training required by those that sell or give away alcohol.</w:t>
      </w:r>
    </w:p>
    <w:p w:rsidR="00DC7AF7" w:rsidRDefault="00DC7AF7" w:rsidP="00DC7AF7">
      <w:pPr>
        <w:spacing w:after="0"/>
        <w:ind w:left="450" w:firstLine="270"/>
        <w:jc w:val="both"/>
        <w:rPr>
          <w:i/>
          <w:color w:val="0070C0"/>
          <w:szCs w:val="24"/>
        </w:rPr>
      </w:pPr>
      <w:r>
        <w:rPr>
          <w:i/>
          <w:color w:val="0070C0"/>
          <w:szCs w:val="24"/>
        </w:rPr>
        <w:t xml:space="preserve">The additional training could include, </w:t>
      </w:r>
      <w:r w:rsidRPr="00DC7AF7">
        <w:rPr>
          <w:i/>
          <w:color w:val="FF0000"/>
          <w:szCs w:val="24"/>
        </w:rPr>
        <w:t>but not be limited to,</w:t>
      </w:r>
      <w:r>
        <w:rPr>
          <w:i/>
          <w:color w:val="0070C0"/>
          <w:szCs w:val="24"/>
        </w:rPr>
        <w:t xml:space="preserve"> the following:</w:t>
      </w:r>
    </w:p>
    <w:p w:rsidR="00DC7AF7" w:rsidRDefault="00DC7AF7" w:rsidP="00DC7AF7">
      <w:pPr>
        <w:pStyle w:val="ListParagraph"/>
        <w:numPr>
          <w:ilvl w:val="0"/>
          <w:numId w:val="9"/>
        </w:numPr>
        <w:spacing w:after="0"/>
        <w:jc w:val="both"/>
        <w:rPr>
          <w:i/>
          <w:color w:val="0070C0"/>
          <w:szCs w:val="24"/>
        </w:rPr>
      </w:pPr>
      <w:r>
        <w:rPr>
          <w:i/>
          <w:color w:val="0070C0"/>
          <w:szCs w:val="24"/>
        </w:rPr>
        <w:t>Clinical effects of marijuana on the human body</w:t>
      </w:r>
    </w:p>
    <w:p w:rsidR="00DC7AF7" w:rsidRDefault="00DC7AF7" w:rsidP="00DC7AF7">
      <w:pPr>
        <w:pStyle w:val="ListParagraph"/>
        <w:numPr>
          <w:ilvl w:val="0"/>
          <w:numId w:val="9"/>
        </w:numPr>
        <w:spacing w:after="0"/>
        <w:jc w:val="both"/>
        <w:rPr>
          <w:i/>
          <w:color w:val="0070C0"/>
          <w:szCs w:val="24"/>
        </w:rPr>
      </w:pPr>
      <w:r>
        <w:rPr>
          <w:i/>
          <w:color w:val="0070C0"/>
          <w:szCs w:val="24"/>
        </w:rPr>
        <w:t>How marijuana affects the consumer</w:t>
      </w:r>
    </w:p>
    <w:p w:rsidR="00DC7AF7" w:rsidRDefault="00DC7AF7" w:rsidP="00DC7AF7">
      <w:pPr>
        <w:pStyle w:val="ListParagraph"/>
        <w:numPr>
          <w:ilvl w:val="0"/>
          <w:numId w:val="9"/>
        </w:numPr>
        <w:spacing w:after="0"/>
        <w:jc w:val="both"/>
        <w:rPr>
          <w:i/>
          <w:color w:val="0070C0"/>
          <w:szCs w:val="24"/>
        </w:rPr>
      </w:pPr>
      <w:r>
        <w:rPr>
          <w:i/>
          <w:color w:val="0070C0"/>
          <w:szCs w:val="24"/>
        </w:rPr>
        <w:t>Required warning and literature</w:t>
      </w:r>
    </w:p>
    <w:p w:rsidR="00DC7AF7" w:rsidRDefault="00DC7AF7" w:rsidP="00DC7AF7">
      <w:pPr>
        <w:pStyle w:val="ListParagraph"/>
        <w:numPr>
          <w:ilvl w:val="0"/>
          <w:numId w:val="9"/>
        </w:numPr>
        <w:spacing w:after="0"/>
        <w:jc w:val="both"/>
        <w:rPr>
          <w:i/>
          <w:color w:val="0070C0"/>
          <w:szCs w:val="24"/>
        </w:rPr>
      </w:pPr>
      <w:r>
        <w:rPr>
          <w:i/>
          <w:color w:val="0070C0"/>
          <w:szCs w:val="24"/>
        </w:rPr>
        <w:lastRenderedPageBreak/>
        <w:t>Methods of identifying impairment</w:t>
      </w:r>
    </w:p>
    <w:p w:rsidR="00DC7AF7" w:rsidRDefault="00DC7AF7" w:rsidP="00DC7AF7">
      <w:pPr>
        <w:pStyle w:val="ListParagraph"/>
        <w:numPr>
          <w:ilvl w:val="0"/>
          <w:numId w:val="9"/>
        </w:numPr>
        <w:spacing w:after="0"/>
        <w:jc w:val="both"/>
        <w:rPr>
          <w:i/>
          <w:color w:val="0070C0"/>
          <w:szCs w:val="24"/>
        </w:rPr>
      </w:pPr>
      <w:r>
        <w:rPr>
          <w:i/>
          <w:color w:val="0070C0"/>
          <w:szCs w:val="24"/>
        </w:rPr>
        <w:t>Methods of refusing entry or sales to intoxicated persons</w:t>
      </w:r>
    </w:p>
    <w:p w:rsidR="00DC7AF7" w:rsidRDefault="00DC7AF7" w:rsidP="00DC7AF7">
      <w:pPr>
        <w:pStyle w:val="ListParagraph"/>
        <w:numPr>
          <w:ilvl w:val="1"/>
          <w:numId w:val="9"/>
        </w:numPr>
        <w:spacing w:after="0"/>
        <w:jc w:val="both"/>
        <w:rPr>
          <w:i/>
          <w:color w:val="0070C0"/>
          <w:szCs w:val="24"/>
        </w:rPr>
      </w:pPr>
      <w:r>
        <w:rPr>
          <w:i/>
          <w:color w:val="0070C0"/>
          <w:szCs w:val="24"/>
        </w:rPr>
        <w:t>Verifying ID and using age verification device</w:t>
      </w:r>
    </w:p>
    <w:p w:rsidR="00DC7AF7" w:rsidRDefault="00DC7AF7" w:rsidP="00DC7AF7">
      <w:pPr>
        <w:pStyle w:val="ListParagraph"/>
        <w:numPr>
          <w:ilvl w:val="1"/>
          <w:numId w:val="9"/>
        </w:numPr>
        <w:spacing w:after="0"/>
        <w:jc w:val="both"/>
        <w:rPr>
          <w:i/>
          <w:color w:val="0070C0"/>
          <w:szCs w:val="24"/>
        </w:rPr>
      </w:pPr>
      <w:r>
        <w:rPr>
          <w:i/>
          <w:color w:val="0070C0"/>
          <w:szCs w:val="24"/>
        </w:rPr>
        <w:t>Education of the use of recreational marijuana and those under 21</w:t>
      </w:r>
    </w:p>
    <w:p w:rsidR="00DC7AF7" w:rsidRDefault="00DC7AF7" w:rsidP="00DC7AF7">
      <w:pPr>
        <w:pStyle w:val="ListParagraph"/>
        <w:numPr>
          <w:ilvl w:val="1"/>
          <w:numId w:val="9"/>
        </w:numPr>
        <w:spacing w:after="0"/>
        <w:jc w:val="both"/>
        <w:rPr>
          <w:i/>
          <w:color w:val="0070C0"/>
          <w:szCs w:val="24"/>
        </w:rPr>
      </w:pPr>
      <w:r>
        <w:rPr>
          <w:i/>
          <w:color w:val="0070C0"/>
          <w:szCs w:val="24"/>
        </w:rPr>
        <w:t>Understanding law enforcement’s role and compliance checks</w:t>
      </w:r>
    </w:p>
    <w:p w:rsidR="00DC7AF7" w:rsidRPr="001724CA" w:rsidRDefault="00DC7AF7" w:rsidP="00DC7AF7">
      <w:pPr>
        <w:pStyle w:val="ListParagraph"/>
        <w:numPr>
          <w:ilvl w:val="1"/>
          <w:numId w:val="9"/>
        </w:numPr>
        <w:spacing w:after="0"/>
        <w:jc w:val="both"/>
        <w:rPr>
          <w:i/>
          <w:color w:val="0070C0"/>
          <w:szCs w:val="24"/>
        </w:rPr>
      </w:pPr>
      <w:r>
        <w:rPr>
          <w:i/>
          <w:color w:val="0070C0"/>
          <w:szCs w:val="24"/>
        </w:rPr>
        <w:t>Recognition of false or altered identification</w:t>
      </w:r>
    </w:p>
    <w:p w:rsidR="00DC7AF7" w:rsidRDefault="00DC7AF7" w:rsidP="00DC7AF7">
      <w:pPr>
        <w:pStyle w:val="ListParagraph"/>
        <w:numPr>
          <w:ilvl w:val="0"/>
          <w:numId w:val="9"/>
        </w:numPr>
        <w:spacing w:after="0"/>
        <w:jc w:val="both"/>
        <w:rPr>
          <w:i/>
          <w:color w:val="0070C0"/>
          <w:szCs w:val="24"/>
        </w:rPr>
      </w:pPr>
      <w:r>
        <w:rPr>
          <w:i/>
          <w:color w:val="0070C0"/>
          <w:szCs w:val="24"/>
        </w:rPr>
        <w:t>Applicable state and local laws regarding marijuana</w:t>
      </w:r>
    </w:p>
    <w:p w:rsidR="00DC7AF7" w:rsidRDefault="00DC7AF7" w:rsidP="00DC7AF7">
      <w:pPr>
        <w:pStyle w:val="ListParagraph"/>
        <w:numPr>
          <w:ilvl w:val="0"/>
          <w:numId w:val="9"/>
        </w:numPr>
        <w:spacing w:after="0"/>
        <w:jc w:val="both"/>
        <w:rPr>
          <w:i/>
          <w:color w:val="0070C0"/>
          <w:szCs w:val="24"/>
        </w:rPr>
      </w:pPr>
      <w:r>
        <w:rPr>
          <w:i/>
          <w:color w:val="0070C0"/>
          <w:szCs w:val="24"/>
        </w:rPr>
        <w:t>Preventing unlawful consumption, open and public consumption laws</w:t>
      </w:r>
    </w:p>
    <w:p w:rsidR="00DC7AF7" w:rsidRDefault="00DC7AF7" w:rsidP="00DC7AF7">
      <w:pPr>
        <w:pStyle w:val="ListParagraph"/>
        <w:numPr>
          <w:ilvl w:val="0"/>
          <w:numId w:val="9"/>
        </w:numPr>
        <w:spacing w:after="0"/>
        <w:jc w:val="both"/>
        <w:rPr>
          <w:i/>
          <w:color w:val="0070C0"/>
          <w:szCs w:val="24"/>
        </w:rPr>
      </w:pPr>
      <w:r>
        <w:rPr>
          <w:i/>
          <w:color w:val="0070C0"/>
          <w:szCs w:val="24"/>
        </w:rPr>
        <w:t>Preventing use of marijuana by minors, laws and penalties</w:t>
      </w:r>
    </w:p>
    <w:p w:rsidR="00DC7AF7" w:rsidRDefault="00DC7AF7" w:rsidP="00DC7AF7">
      <w:pPr>
        <w:pStyle w:val="ListParagraph"/>
        <w:numPr>
          <w:ilvl w:val="0"/>
          <w:numId w:val="9"/>
        </w:numPr>
        <w:spacing w:after="0"/>
        <w:jc w:val="both"/>
        <w:rPr>
          <w:i/>
          <w:color w:val="0070C0"/>
          <w:szCs w:val="24"/>
        </w:rPr>
      </w:pPr>
      <w:r>
        <w:rPr>
          <w:i/>
          <w:color w:val="0070C0"/>
          <w:szCs w:val="24"/>
        </w:rPr>
        <w:t>How to prevent and deal with disturbances</w:t>
      </w:r>
    </w:p>
    <w:p w:rsidR="00DC7AF7" w:rsidRDefault="00DC7AF7" w:rsidP="00DC7AF7">
      <w:pPr>
        <w:pStyle w:val="ListParagraph"/>
        <w:numPr>
          <w:ilvl w:val="0"/>
          <w:numId w:val="9"/>
        </w:numPr>
        <w:spacing w:after="0"/>
        <w:jc w:val="both"/>
        <w:rPr>
          <w:i/>
          <w:color w:val="0070C0"/>
          <w:szCs w:val="24"/>
        </w:rPr>
      </w:pPr>
      <w:r>
        <w:rPr>
          <w:i/>
          <w:color w:val="0070C0"/>
          <w:szCs w:val="24"/>
        </w:rPr>
        <w:t>Agent responsibility and strategies for preventing diversion</w:t>
      </w:r>
    </w:p>
    <w:p w:rsidR="00DC7AF7" w:rsidRPr="00DC7AF7" w:rsidRDefault="00DC7AF7" w:rsidP="00DC7AF7">
      <w:pPr>
        <w:spacing w:after="0"/>
        <w:jc w:val="both"/>
        <w:rPr>
          <w:i/>
          <w:color w:val="0070C0"/>
          <w:szCs w:val="24"/>
        </w:rPr>
      </w:pPr>
    </w:p>
    <w:p w:rsidR="00DC4C53" w:rsidRDefault="00DC4C53" w:rsidP="00DC4C53">
      <w:pPr>
        <w:spacing w:after="0"/>
        <w:ind w:left="720"/>
        <w:rPr>
          <w:rFonts w:eastAsia="Times New Roman" w:cs="Times New Roman"/>
          <w:i/>
          <w:color w:val="FF0000"/>
          <w:szCs w:val="24"/>
        </w:rPr>
      </w:pPr>
      <w:r>
        <w:rPr>
          <w:i/>
          <w:color w:val="0070C0"/>
        </w:rPr>
        <w:t xml:space="preserve">Recommendation:  </w:t>
      </w:r>
      <w:r>
        <w:rPr>
          <w:i/>
          <w:color w:val="4472C4" w:themeColor="accent5"/>
        </w:rPr>
        <w:t>A</w:t>
      </w:r>
      <w:r w:rsidRPr="003D4FE9">
        <w:rPr>
          <w:i/>
          <w:color w:val="4472C4" w:themeColor="accent5"/>
        </w:rPr>
        <w:t>ddition</w:t>
      </w:r>
      <w:r>
        <w:rPr>
          <w:i/>
          <w:color w:val="4472C4" w:themeColor="accent5"/>
        </w:rPr>
        <w:t xml:space="preserve">al language to be </w:t>
      </w:r>
      <w:r w:rsidRPr="00DC4C53">
        <w:rPr>
          <w:i/>
          <w:color w:val="4472C4" w:themeColor="accent5"/>
        </w:rPr>
        <w:t xml:space="preserve">added to </w:t>
      </w:r>
      <w:r w:rsidRPr="00DC4C53">
        <w:rPr>
          <w:rFonts w:eastAsia="Times New Roman" w:cs="Times New Roman"/>
          <w:i/>
          <w:color w:val="4472C4" w:themeColor="accent5"/>
          <w:szCs w:val="24"/>
        </w:rPr>
        <w:t>NAC 453A.336</w:t>
      </w:r>
    </w:p>
    <w:p w:rsidR="00DC4C53" w:rsidRPr="003D4FE9" w:rsidRDefault="00DC4C53" w:rsidP="00DC4C53">
      <w:pPr>
        <w:spacing w:after="0"/>
        <w:ind w:left="720"/>
        <w:rPr>
          <w:i/>
          <w:color w:val="4472C4" w:themeColor="accent5"/>
        </w:rPr>
      </w:pPr>
      <w:r>
        <w:rPr>
          <w:i/>
          <w:color w:val="4472C4" w:themeColor="accent5"/>
        </w:rPr>
        <w:t>A</w:t>
      </w:r>
      <w:r w:rsidRPr="003D4FE9">
        <w:rPr>
          <w:i/>
          <w:color w:val="4472C4" w:themeColor="accent5"/>
        </w:rPr>
        <w:t xml:space="preserve"> facility for the distribution of edible marijuana products or marijuana-infused products shall ensure that instruction is provided to a marijuana establishment agent before that person begins to work or voluntee</w:t>
      </w:r>
      <w:r>
        <w:rPr>
          <w:i/>
          <w:color w:val="4472C4" w:themeColor="accent5"/>
        </w:rPr>
        <w:t>rs</w:t>
      </w:r>
      <w:r w:rsidRPr="003D4FE9">
        <w:rPr>
          <w:i/>
          <w:color w:val="4472C4" w:themeColor="accent5"/>
        </w:rPr>
        <w:t xml:space="preserve"> at the facility for the distribution of edible marijuana products or marijuana-infused products. Such instruction must include, without limitation:</w:t>
      </w:r>
    </w:p>
    <w:p w:rsidR="00DC4C53" w:rsidRPr="003D4FE9" w:rsidRDefault="00DC4C53" w:rsidP="00DC4C53">
      <w:pPr>
        <w:spacing w:after="0"/>
        <w:ind w:left="720"/>
        <w:rPr>
          <w:i/>
          <w:color w:val="4472C4" w:themeColor="accent5"/>
        </w:rPr>
      </w:pPr>
      <w:r w:rsidRPr="003D4FE9">
        <w:rPr>
          <w:color w:val="4472C4" w:themeColor="accent5"/>
        </w:rPr>
        <w:t>   </w:t>
      </w:r>
      <w:r w:rsidRPr="003D4FE9">
        <w:rPr>
          <w:color w:val="4472C4" w:themeColor="accent5"/>
        </w:rPr>
        <w:tab/>
        <w:t>(a)  </w:t>
      </w:r>
      <w:r w:rsidRPr="003D4FE9">
        <w:rPr>
          <w:i/>
          <w:color w:val="4472C4" w:themeColor="accent5"/>
        </w:rPr>
        <w:t xml:space="preserve">The proper procedures for handling or marijuana, edible marijuana products or </w:t>
      </w:r>
      <w:r w:rsidRPr="003D4FE9">
        <w:rPr>
          <w:i/>
          <w:color w:val="4472C4" w:themeColor="accent5"/>
        </w:rPr>
        <w:tab/>
        <w:t>marijuana-infused products;</w:t>
      </w:r>
    </w:p>
    <w:p w:rsidR="00DC4C53" w:rsidRPr="003D4FE9" w:rsidRDefault="00DC4C53" w:rsidP="00DC4C53">
      <w:pPr>
        <w:spacing w:after="0"/>
        <w:ind w:left="900" w:hanging="180"/>
        <w:rPr>
          <w:i/>
          <w:color w:val="4472C4" w:themeColor="accent5"/>
        </w:rPr>
      </w:pPr>
      <w:r w:rsidRPr="003D4FE9">
        <w:rPr>
          <w:i/>
          <w:color w:val="4472C4" w:themeColor="accent5"/>
        </w:rPr>
        <w:t xml:space="preserve">  </w:t>
      </w:r>
      <w:r w:rsidRPr="003D4FE9">
        <w:rPr>
          <w:i/>
          <w:color w:val="4472C4" w:themeColor="accent5"/>
        </w:rPr>
        <w:tab/>
      </w:r>
      <w:r w:rsidRPr="003D4FE9">
        <w:rPr>
          <w:i/>
          <w:color w:val="4472C4" w:themeColor="accent5"/>
        </w:rPr>
        <w:tab/>
        <w:t xml:space="preserve">(b)  The procedures for proper transportation and storage of marijuana, edible </w:t>
      </w:r>
      <w:r w:rsidRPr="003D4FE9">
        <w:rPr>
          <w:i/>
          <w:color w:val="4472C4" w:themeColor="accent5"/>
        </w:rPr>
        <w:tab/>
        <w:t>marijuana products or marijuana infused products;</w:t>
      </w:r>
    </w:p>
    <w:p w:rsidR="00DC4C53" w:rsidRPr="003D4FE9" w:rsidRDefault="00DC4C53" w:rsidP="00DC4C53">
      <w:pPr>
        <w:spacing w:after="0"/>
        <w:ind w:left="900" w:hanging="180"/>
        <w:rPr>
          <w:i/>
          <w:color w:val="4472C4" w:themeColor="accent5"/>
        </w:rPr>
      </w:pPr>
      <w:r w:rsidRPr="003D4FE9">
        <w:rPr>
          <w:i/>
          <w:color w:val="4472C4" w:themeColor="accent5"/>
        </w:rPr>
        <w:t xml:space="preserve">  </w:t>
      </w:r>
      <w:r w:rsidRPr="003D4FE9">
        <w:rPr>
          <w:i/>
          <w:color w:val="4472C4" w:themeColor="accent5"/>
        </w:rPr>
        <w:tab/>
      </w:r>
      <w:r w:rsidRPr="003D4FE9">
        <w:rPr>
          <w:i/>
          <w:color w:val="4472C4" w:themeColor="accent5"/>
        </w:rPr>
        <w:tab/>
      </w:r>
      <w:r>
        <w:rPr>
          <w:i/>
          <w:color w:val="4472C4" w:themeColor="accent5"/>
        </w:rPr>
        <w:t>(c</w:t>
      </w:r>
      <w:r w:rsidRPr="003D4FE9">
        <w:rPr>
          <w:i/>
          <w:color w:val="4472C4" w:themeColor="accent5"/>
        </w:rPr>
        <w:t>)  Maintain the proper Nevada state driver’s license for the expected loads</w:t>
      </w:r>
    </w:p>
    <w:p w:rsidR="005F5087" w:rsidRPr="003110FB" w:rsidRDefault="005F5087" w:rsidP="003D0C3C">
      <w:pPr>
        <w:spacing w:after="0"/>
      </w:pPr>
      <w:bookmarkStart w:id="0" w:name="m_5622456060937635844_NRS453ASec104"/>
      <w:bookmarkEnd w:id="0"/>
    </w:p>
    <w:p w:rsidR="00E9081E" w:rsidRDefault="00DC4C91" w:rsidP="00E9081E">
      <w:pPr>
        <w:pStyle w:val="ListParagraph"/>
        <w:numPr>
          <w:ilvl w:val="0"/>
          <w:numId w:val="1"/>
        </w:numPr>
        <w:spacing w:after="0"/>
      </w:pPr>
      <w:r>
        <w:t>Which guiding p</w:t>
      </w:r>
      <w:r w:rsidR="00E9081E" w:rsidRPr="003110FB">
        <w:t>rinciple(s) does this recommendation support?</w:t>
      </w:r>
    </w:p>
    <w:p w:rsidR="00B606F5" w:rsidRDefault="00B606F5" w:rsidP="00B606F5">
      <w:pPr>
        <w:spacing w:after="0"/>
      </w:pPr>
    </w:p>
    <w:p w:rsidR="003B0CF5" w:rsidRDefault="003B0CF5" w:rsidP="00B606F5">
      <w:pPr>
        <w:pStyle w:val="ListParagraph"/>
        <w:spacing w:after="0"/>
        <w:jc w:val="both"/>
        <w:rPr>
          <w:i/>
          <w:color w:val="2E74B5" w:themeColor="accent1" w:themeShade="BF"/>
        </w:rPr>
      </w:pPr>
      <w:r>
        <w:rPr>
          <w:i/>
          <w:color w:val="2E74B5" w:themeColor="accent1" w:themeShade="BF"/>
        </w:rPr>
        <w:t xml:space="preserve">Guiding Principle 1 – Promote the health, safety, and </w:t>
      </w:r>
      <w:r w:rsidR="000554AB">
        <w:rPr>
          <w:i/>
          <w:color w:val="2E74B5" w:themeColor="accent1" w:themeShade="BF"/>
        </w:rPr>
        <w:t>well being</w:t>
      </w:r>
      <w:r>
        <w:rPr>
          <w:i/>
          <w:color w:val="2E74B5" w:themeColor="accent1" w:themeShade="BF"/>
        </w:rPr>
        <w:t xml:space="preserve"> of Nevada’s communities</w:t>
      </w:r>
    </w:p>
    <w:p w:rsidR="003B0CF5" w:rsidRDefault="003B0CF5" w:rsidP="00B606F5">
      <w:pPr>
        <w:pStyle w:val="ListParagraph"/>
        <w:spacing w:after="0"/>
        <w:jc w:val="both"/>
        <w:rPr>
          <w:i/>
          <w:color w:val="2E74B5" w:themeColor="accent1" w:themeShade="BF"/>
        </w:rPr>
      </w:pPr>
    </w:p>
    <w:p w:rsidR="00B606F5" w:rsidRDefault="00B606F5" w:rsidP="00B606F5">
      <w:pPr>
        <w:pStyle w:val="ListParagraph"/>
        <w:spacing w:after="0"/>
        <w:jc w:val="both"/>
        <w:rPr>
          <w:i/>
          <w:color w:val="2E74B5" w:themeColor="accent1" w:themeShade="BF"/>
        </w:rPr>
      </w:pPr>
      <w:r>
        <w:rPr>
          <w:i/>
          <w:color w:val="2E74B5" w:themeColor="accent1" w:themeShade="BF"/>
        </w:rPr>
        <w:t xml:space="preserve">Guiding Principle </w:t>
      </w:r>
      <w:r w:rsidR="00AB307D">
        <w:rPr>
          <w:i/>
          <w:color w:val="2E74B5" w:themeColor="accent1" w:themeShade="BF"/>
        </w:rPr>
        <w:t>3</w:t>
      </w:r>
      <w:r>
        <w:rPr>
          <w:i/>
          <w:color w:val="2E74B5" w:themeColor="accent1" w:themeShade="BF"/>
        </w:rPr>
        <w:t xml:space="preserve"> </w:t>
      </w:r>
      <w:r w:rsidR="003B0CF5">
        <w:rPr>
          <w:i/>
          <w:color w:val="2E74B5" w:themeColor="accent1" w:themeShade="BF"/>
        </w:rPr>
        <w:t>–</w:t>
      </w:r>
      <w:r>
        <w:rPr>
          <w:i/>
          <w:color w:val="2E74B5" w:themeColor="accent1" w:themeShade="BF"/>
        </w:rPr>
        <w:t xml:space="preserve"> </w:t>
      </w:r>
      <w:r w:rsidR="003B0CF5">
        <w:rPr>
          <w:i/>
          <w:color w:val="2E74B5" w:themeColor="accent1" w:themeShade="BF"/>
        </w:rPr>
        <w:t>Ensure that youth are protected from the risks associated with marijuana, including preventing the diversion of marijuana to anyone under the age of 21</w:t>
      </w:r>
    </w:p>
    <w:p w:rsidR="00B606F5" w:rsidRDefault="00B606F5" w:rsidP="00B606F5">
      <w:pPr>
        <w:pStyle w:val="ListParagraph"/>
        <w:spacing w:after="0"/>
        <w:jc w:val="both"/>
        <w:rPr>
          <w:i/>
          <w:color w:val="2E74B5" w:themeColor="accent1" w:themeShade="BF"/>
        </w:rPr>
      </w:pPr>
    </w:p>
    <w:p w:rsidR="00E9081E" w:rsidRPr="00B606F5" w:rsidRDefault="00B606F5" w:rsidP="00B606F5">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 xml:space="preserve">Guiding Principle </w:t>
      </w:r>
      <w:r w:rsidR="003B0CF5">
        <w:rPr>
          <w:rFonts w:ascii="Calibri" w:hAnsi="Calibri"/>
          <w:i/>
          <w:color w:val="2E74B5" w:themeColor="accent1" w:themeShade="BF"/>
        </w:rPr>
        <w:t>6 – Establish regulations that are clear and practical, so that interactions between law enforcement (at the local, state and federal levels), consumers, and licensees are predictable and understandable</w:t>
      </w:r>
    </w:p>
    <w:p w:rsidR="00B606F5" w:rsidRDefault="00E9081E" w:rsidP="00E9081E">
      <w:pPr>
        <w:pStyle w:val="ListParagraph"/>
        <w:numPr>
          <w:ilvl w:val="0"/>
          <w:numId w:val="1"/>
        </w:numPr>
        <w:spacing w:after="0"/>
      </w:pPr>
      <w:r w:rsidRPr="003110FB">
        <w:t xml:space="preserve">What provision(s) of Question 2 does this recommendation apply to? </w:t>
      </w:r>
    </w:p>
    <w:p w:rsidR="00EC2D09" w:rsidRDefault="00EC2D09" w:rsidP="008C1FB6">
      <w:pPr>
        <w:spacing w:after="0"/>
        <w:ind w:left="720"/>
        <w:jc w:val="both"/>
        <w:rPr>
          <w:i/>
          <w:color w:val="0070C0"/>
          <w:shd w:val="clear" w:color="auto" w:fill="FFFFFF"/>
        </w:rPr>
      </w:pPr>
    </w:p>
    <w:p w:rsidR="00AB307D" w:rsidRPr="006D6816" w:rsidRDefault="002A7C88" w:rsidP="008C1FB6">
      <w:pPr>
        <w:spacing w:after="0"/>
        <w:ind w:left="720"/>
        <w:jc w:val="both"/>
        <w:rPr>
          <w:i/>
          <w:color w:val="0070C0"/>
          <w:shd w:val="clear" w:color="auto" w:fill="FFFFFF"/>
        </w:rPr>
      </w:pPr>
      <w:r w:rsidRPr="006D6816">
        <w:rPr>
          <w:i/>
          <w:color w:val="0070C0"/>
          <w:shd w:val="clear" w:color="auto" w:fill="FFFFFF"/>
        </w:rPr>
        <w:t xml:space="preserve">Sec. 2.    Preamble.   In the interest of the public health and public safety, and in order to better focus state and local law enforcement resources on crimes involving violence and personal property, the People of the State of Nevada find and declare that the use of marijuana should be legal for persons 21 years of age or older, and its cultivation and sale should be regulated similar to other legal businesses. </w:t>
      </w:r>
    </w:p>
    <w:p w:rsidR="002A7C88" w:rsidRPr="006D6816" w:rsidRDefault="002A7C88" w:rsidP="008C1FB6">
      <w:pPr>
        <w:spacing w:after="0"/>
        <w:ind w:left="720"/>
        <w:jc w:val="both"/>
        <w:rPr>
          <w:i/>
          <w:color w:val="0070C0"/>
          <w:shd w:val="clear" w:color="auto" w:fill="FFFFFF"/>
        </w:rPr>
      </w:pPr>
    </w:p>
    <w:p w:rsidR="002A7C88" w:rsidRPr="006D6816" w:rsidRDefault="002A7C88" w:rsidP="008C1FB6">
      <w:pPr>
        <w:shd w:val="clear" w:color="auto" w:fill="FFFFFF"/>
        <w:spacing w:after="0" w:line="240" w:lineRule="auto"/>
        <w:ind w:left="720"/>
        <w:jc w:val="both"/>
        <w:textAlignment w:val="baseline"/>
        <w:rPr>
          <w:rFonts w:eastAsia="Times New Roman" w:cs="Times New Roman"/>
          <w:i/>
          <w:color w:val="0070C0"/>
          <w:sz w:val="23"/>
          <w:szCs w:val="23"/>
        </w:rPr>
      </w:pPr>
      <w:r w:rsidRPr="006D6816">
        <w:rPr>
          <w:rFonts w:eastAsia="Times New Roman" w:cs="Times New Roman"/>
          <w:i/>
          <w:color w:val="0070C0"/>
          <w:sz w:val="23"/>
          <w:szCs w:val="23"/>
          <w:bdr w:val="none" w:sz="0" w:space="0" w:color="auto" w:frame="1"/>
        </w:rPr>
        <w:t>(d) Selling or giving marijuana to persons under 2</w:t>
      </w:r>
      <w:r w:rsidR="00DC7AF7">
        <w:rPr>
          <w:rFonts w:eastAsia="Times New Roman" w:cs="Times New Roman"/>
          <w:i/>
          <w:color w:val="0070C0"/>
          <w:sz w:val="23"/>
          <w:szCs w:val="23"/>
          <w:bdr w:val="none" w:sz="0" w:space="0" w:color="auto" w:frame="1"/>
        </w:rPr>
        <w:t xml:space="preserve">1 years of age shall remain </w:t>
      </w:r>
      <w:r w:rsidR="00427EF3">
        <w:rPr>
          <w:rFonts w:eastAsia="Times New Roman" w:cs="Times New Roman"/>
          <w:i/>
          <w:color w:val="0070C0"/>
          <w:sz w:val="23"/>
          <w:szCs w:val="23"/>
          <w:bdr w:val="none" w:sz="0" w:space="0" w:color="auto" w:frame="1"/>
        </w:rPr>
        <w:t>ill</w:t>
      </w:r>
      <w:r w:rsidR="00427EF3" w:rsidRPr="006D6816">
        <w:rPr>
          <w:rFonts w:eastAsia="Times New Roman" w:cs="Times New Roman"/>
          <w:i/>
          <w:color w:val="0070C0"/>
          <w:sz w:val="23"/>
          <w:szCs w:val="23"/>
          <w:bdr w:val="none" w:sz="0" w:space="0" w:color="auto" w:frame="1"/>
        </w:rPr>
        <w:t>egal</w:t>
      </w:r>
      <w:r w:rsidRPr="006D6816">
        <w:rPr>
          <w:rFonts w:eastAsia="Times New Roman" w:cs="Times New Roman"/>
          <w:i/>
          <w:color w:val="0070C0"/>
          <w:sz w:val="23"/>
          <w:szCs w:val="23"/>
          <w:bdr w:val="none" w:sz="0" w:space="0" w:color="auto" w:frame="1"/>
        </w:rPr>
        <w:t>;</w:t>
      </w:r>
    </w:p>
    <w:p w:rsidR="002A7C88" w:rsidRPr="006D6816" w:rsidRDefault="002A7C88" w:rsidP="008C1FB6">
      <w:pPr>
        <w:shd w:val="clear" w:color="auto" w:fill="FFFFFF"/>
        <w:spacing w:after="0" w:line="240" w:lineRule="auto"/>
        <w:ind w:left="720"/>
        <w:jc w:val="both"/>
        <w:textAlignment w:val="baseline"/>
        <w:rPr>
          <w:rFonts w:eastAsia="Times New Roman" w:cs="Times New Roman"/>
          <w:i/>
          <w:color w:val="0070C0"/>
          <w:sz w:val="23"/>
          <w:szCs w:val="23"/>
        </w:rPr>
      </w:pPr>
      <w:r w:rsidRPr="006D6816">
        <w:rPr>
          <w:rFonts w:eastAsia="Times New Roman" w:cs="Times New Roman"/>
          <w:i/>
          <w:color w:val="0070C0"/>
          <w:sz w:val="23"/>
          <w:szCs w:val="23"/>
          <w:bdr w:val="none" w:sz="0" w:space="0" w:color="auto" w:frame="1"/>
        </w:rPr>
        <w:t>(e) Individuals will have to be 21 years of age or older to purchase marijuana;</w:t>
      </w:r>
    </w:p>
    <w:p w:rsidR="00AF130E" w:rsidRPr="003110FB" w:rsidRDefault="00AF130E" w:rsidP="00AF130E">
      <w:pPr>
        <w:spacing w:after="0"/>
      </w:pPr>
    </w:p>
    <w:p w:rsidR="007A4A8C" w:rsidRDefault="00E9081E" w:rsidP="00E9081E">
      <w:pPr>
        <w:pStyle w:val="ListParagraph"/>
        <w:numPr>
          <w:ilvl w:val="0"/>
          <w:numId w:val="1"/>
        </w:numPr>
        <w:spacing w:after="0"/>
      </w:pPr>
      <w:r w:rsidRPr="003110FB">
        <w:t>What issue(s) does the recommendation resolve?</w:t>
      </w:r>
    </w:p>
    <w:p w:rsidR="00B606F5" w:rsidRDefault="00B606F5" w:rsidP="00B606F5">
      <w:pPr>
        <w:spacing w:after="0"/>
      </w:pPr>
    </w:p>
    <w:p w:rsidR="001B0ADC" w:rsidRPr="006D6816" w:rsidRDefault="00B606F5" w:rsidP="00B606F5">
      <w:pPr>
        <w:spacing w:after="0"/>
        <w:ind w:left="720"/>
        <w:jc w:val="both"/>
        <w:rPr>
          <w:i/>
          <w:color w:val="0070C0"/>
        </w:rPr>
      </w:pPr>
      <w:r w:rsidRPr="006D6816">
        <w:rPr>
          <w:i/>
          <w:color w:val="0070C0"/>
        </w:rPr>
        <w:t xml:space="preserve">This recommendation </w:t>
      </w:r>
      <w:r w:rsidR="00427EF3">
        <w:rPr>
          <w:i/>
          <w:color w:val="0070C0"/>
        </w:rPr>
        <w:t>establishes</w:t>
      </w:r>
      <w:r w:rsidR="00BA3A45">
        <w:rPr>
          <w:i/>
          <w:color w:val="0070C0"/>
        </w:rPr>
        <w:t xml:space="preserve"> training requirements for the recreational marijuana industry and </w:t>
      </w:r>
      <w:r w:rsidRPr="006D6816">
        <w:rPr>
          <w:i/>
          <w:color w:val="0070C0"/>
        </w:rPr>
        <w:t xml:space="preserve">resolves </w:t>
      </w:r>
      <w:r w:rsidR="002A7C88" w:rsidRPr="006D6816">
        <w:rPr>
          <w:i/>
          <w:color w:val="0070C0"/>
        </w:rPr>
        <w:t>access to anyone under 21 years of age.</w:t>
      </w:r>
    </w:p>
    <w:p w:rsidR="001B0ADC" w:rsidRPr="003110FB" w:rsidRDefault="001B0ADC" w:rsidP="001B0ADC">
      <w:pPr>
        <w:spacing w:after="0"/>
      </w:pPr>
    </w:p>
    <w:p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rsidR="00B606F5" w:rsidRDefault="00B606F5" w:rsidP="00B606F5">
      <w:pPr>
        <w:spacing w:after="0"/>
        <w:ind w:left="720"/>
      </w:pPr>
    </w:p>
    <w:p w:rsidR="007F5022" w:rsidRPr="009E1608" w:rsidRDefault="007F5022" w:rsidP="007F5022">
      <w:pPr>
        <w:ind w:left="720"/>
        <w:jc w:val="both"/>
        <w:rPr>
          <w:i/>
          <w:color w:val="FF0000"/>
        </w:rPr>
      </w:pPr>
      <w:r w:rsidRPr="009E1608">
        <w:rPr>
          <w:i/>
          <w:color w:val="FF0000"/>
        </w:rPr>
        <w:t>The Nevada Dispensary Association (“NDA”) supports training requirements, including the current training required in the medical marijuana program and further expanding the required training to cover the areas enumerated in this recommendation.  However, the NDA opposes the requirement that a third party vendor conduct the training. Currently, medical marijuana establishments are allowed to conduct their own training for their employees, which allows them to ensure the training is conducted to their standards and is tailored to each individual’s job duties.  This also allows them to offer training at times that work for the establishment, rather than based on the vendor’s calendar. </w:t>
      </w:r>
    </w:p>
    <w:p w:rsidR="007F5022" w:rsidRPr="009E1608" w:rsidRDefault="007F5022" w:rsidP="007F5022">
      <w:pPr>
        <w:spacing w:line="240" w:lineRule="atLeast"/>
        <w:ind w:left="720"/>
        <w:jc w:val="both"/>
        <w:rPr>
          <w:i/>
          <w:color w:val="FF0000"/>
        </w:rPr>
      </w:pPr>
      <w:r w:rsidRPr="009E1608">
        <w:rPr>
          <w:i/>
          <w:color w:val="FF0000"/>
        </w:rPr>
        <w:t>Currently, the management teams involved in medical marijuana establishments, which will be running retail marijuana establishments, are the most knowledgeable people in the state about proper handling, testing, and administration of marijuana.  There is currently no third party vendor that understands Nevada’s rules, regulations, and proper handling of marijuana as well as the current operating teams in the legal marijuana market. There is no basis to assume that a vendor will provide more competent training than the establishments themselves, which have the incentive to provide top quality training as their license to conduct business is a compelling incentive to be compliant. </w:t>
      </w:r>
    </w:p>
    <w:p w:rsidR="007F5022" w:rsidRPr="009E1608" w:rsidRDefault="007F5022" w:rsidP="007F5022">
      <w:pPr>
        <w:spacing w:line="240" w:lineRule="atLeast"/>
        <w:ind w:left="720"/>
        <w:jc w:val="both"/>
        <w:rPr>
          <w:i/>
          <w:color w:val="FF0000"/>
        </w:rPr>
      </w:pPr>
      <w:r w:rsidRPr="009E1608">
        <w:rPr>
          <w:i/>
          <w:color w:val="FF0000"/>
        </w:rPr>
        <w:t>This recommendation should be adopted, but should be revised to remove the following language: </w:t>
      </w:r>
    </w:p>
    <w:p w:rsidR="008924A8" w:rsidRPr="00F0521E" w:rsidRDefault="007F5022" w:rsidP="00F0521E">
      <w:pPr>
        <w:spacing w:line="240" w:lineRule="atLeast"/>
        <w:ind w:left="720"/>
        <w:jc w:val="both"/>
        <w:rPr>
          <w:i/>
          <w:color w:val="FF0000"/>
        </w:rPr>
      </w:pPr>
      <w:r w:rsidRPr="009E1608">
        <w:rPr>
          <w:i/>
          <w:color w:val="FF0000"/>
        </w:rPr>
        <w:t>The administration of this additional training will be offered through an outside vendor that has been approved by the Department or the Chief Medical Officer. This system will model the current training required by those that sell or give away alcohol. </w:t>
      </w:r>
      <w:bookmarkStart w:id="1" w:name="_GoBack"/>
      <w:bookmarkEnd w:id="1"/>
    </w:p>
    <w:p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7C4334" w:rsidRDefault="007C4334" w:rsidP="007C4334">
      <w:pPr>
        <w:spacing w:after="0"/>
      </w:pPr>
    </w:p>
    <w:p w:rsidR="00E9081E" w:rsidRPr="006D6816" w:rsidRDefault="007C4334" w:rsidP="007C4334">
      <w:pPr>
        <w:spacing w:after="0"/>
        <w:ind w:left="720"/>
        <w:jc w:val="both"/>
        <w:rPr>
          <w:i/>
          <w:color w:val="0070C0"/>
        </w:rPr>
      </w:pPr>
      <w:r w:rsidRPr="006D6816">
        <w:rPr>
          <w:i/>
          <w:color w:val="0070C0"/>
        </w:rPr>
        <w:t xml:space="preserve">Regulations regarding </w:t>
      </w:r>
      <w:r w:rsidR="002A7C88" w:rsidRPr="006D6816">
        <w:rPr>
          <w:i/>
          <w:color w:val="0070C0"/>
        </w:rPr>
        <w:t xml:space="preserve">training and personnel </w:t>
      </w:r>
      <w:r w:rsidRPr="006D6816">
        <w:rPr>
          <w:i/>
          <w:color w:val="0070C0"/>
        </w:rPr>
        <w:t xml:space="preserve">will need to be modified to apply to the retail </w:t>
      </w:r>
      <w:r w:rsidR="002A7C88" w:rsidRPr="006D6816">
        <w:rPr>
          <w:i/>
          <w:color w:val="0070C0"/>
        </w:rPr>
        <w:t>establishments</w:t>
      </w:r>
      <w:r w:rsidRPr="006D6816">
        <w:rPr>
          <w:i/>
          <w:color w:val="0070C0"/>
        </w:rPr>
        <w:t>.</w:t>
      </w:r>
    </w:p>
    <w:p w:rsidR="00E9081E" w:rsidRPr="003110FB" w:rsidRDefault="00E9081E"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F064FE" w:rsidRPr="003110FB">
        <w:t>etc.</w:t>
      </w:r>
      <w:r w:rsidRPr="003110FB">
        <w:t>)</w:t>
      </w:r>
      <w:r w:rsidR="00B70E4E" w:rsidRPr="003110FB">
        <w:t>.</w:t>
      </w:r>
    </w:p>
    <w:p w:rsidR="00DC7AF7" w:rsidRDefault="00DC7AF7" w:rsidP="007C4334">
      <w:pPr>
        <w:spacing w:after="0"/>
        <w:rPr>
          <w:color w:val="0070C0"/>
        </w:rPr>
      </w:pPr>
    </w:p>
    <w:p w:rsidR="007C4334" w:rsidRPr="00855D6B" w:rsidRDefault="00427EF3" w:rsidP="007C4334">
      <w:pPr>
        <w:spacing w:after="0"/>
        <w:rPr>
          <w:i/>
          <w:color w:val="FF0000"/>
        </w:rPr>
      </w:pPr>
      <w:r>
        <w:rPr>
          <w:color w:val="FF0000"/>
        </w:rPr>
        <w:tab/>
      </w:r>
      <w:r w:rsidR="00DC7AF7" w:rsidRPr="00855D6B">
        <w:rPr>
          <w:i/>
          <w:color w:val="FF0000"/>
        </w:rPr>
        <w:t>The cost</w:t>
      </w:r>
      <w:r w:rsidR="00B340B2">
        <w:rPr>
          <w:i/>
          <w:color w:val="FF0000"/>
        </w:rPr>
        <w:t>s of all training</w:t>
      </w:r>
      <w:r w:rsidR="00DC7AF7" w:rsidRPr="00855D6B">
        <w:rPr>
          <w:i/>
          <w:color w:val="FF0000"/>
        </w:rPr>
        <w:t xml:space="preserve"> will be</w:t>
      </w:r>
      <w:r w:rsidR="0072153B">
        <w:rPr>
          <w:i/>
          <w:color w:val="FF0000"/>
        </w:rPr>
        <w:t xml:space="preserve"> employee or employer funded.</w:t>
      </w:r>
    </w:p>
    <w:p w:rsidR="00753FA6" w:rsidRPr="00855D6B" w:rsidRDefault="00753FA6" w:rsidP="009201F4">
      <w:pPr>
        <w:spacing w:after="0"/>
        <w:ind w:left="810" w:hanging="90"/>
        <w:rPr>
          <w:b/>
          <w:i/>
          <w:sz w:val="18"/>
          <w:szCs w:val="18"/>
        </w:rPr>
      </w:pPr>
    </w:p>
    <w:sectPr w:rsidR="00753FA6" w:rsidRPr="00855D6B" w:rsidSect="008862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AE" w:rsidRDefault="00E87AAE" w:rsidP="00391997">
      <w:pPr>
        <w:spacing w:after="0" w:line="240" w:lineRule="auto"/>
      </w:pPr>
      <w:r>
        <w:separator/>
      </w:r>
    </w:p>
  </w:endnote>
  <w:endnote w:type="continuationSeparator" w:id="0">
    <w:p w:rsidR="00E87AAE" w:rsidRDefault="00E87AA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11" w:rsidRPr="00F43822" w:rsidRDefault="0097483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ED1A03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376011">
      <w:rPr>
        <w:rFonts w:ascii="Calibri" w:eastAsia="Times New Roman" w:hAnsi="Calibri" w:cs="Times New Roman"/>
        <w:bCs/>
        <w:i/>
        <w:color w:val="3737A5"/>
        <w:sz w:val="16"/>
        <w:szCs w:val="16"/>
      </w:rPr>
      <w:t>Oversight and Responsible Agent Training v.</w:t>
    </w:r>
    <w:r w:rsidR="00867CC7">
      <w:rPr>
        <w:rFonts w:ascii="Calibri" w:eastAsia="Times New Roman" w:hAnsi="Calibri" w:cs="Times New Roman"/>
        <w:bCs/>
        <w:i/>
        <w:color w:val="3737A5"/>
        <w:sz w:val="16"/>
        <w:szCs w:val="16"/>
      </w:rPr>
      <w:t xml:space="preserve"> </w:t>
    </w:r>
    <w:proofErr w:type="gramStart"/>
    <w:r w:rsidR="00215B0B">
      <w:rPr>
        <w:rFonts w:ascii="Calibri" w:eastAsia="Times New Roman" w:hAnsi="Calibri" w:cs="Times New Roman"/>
        <w:bCs/>
        <w:i/>
        <w:color w:val="3737A5"/>
        <w:sz w:val="16"/>
        <w:szCs w:val="16"/>
      </w:rPr>
      <w:t xml:space="preserve">4 </w:t>
    </w:r>
    <w:r w:rsidR="00376011">
      <w:rPr>
        <w:rFonts w:ascii="Calibri" w:eastAsia="Times New Roman" w:hAnsi="Calibri" w:cs="Times New Roman"/>
        <w:bCs/>
        <w:i/>
        <w:color w:val="3737A5"/>
        <w:sz w:val="16"/>
        <w:szCs w:val="16"/>
      </w:rPr>
      <w:t xml:space="preserve"> -</w:t>
    </w:r>
    <w:proofErr w:type="gramEnd"/>
    <w:r w:rsidR="00376011">
      <w:rPr>
        <w:rFonts w:ascii="Calibri" w:eastAsia="Times New Roman" w:hAnsi="Calibri" w:cs="Times New Roman"/>
        <w:bCs/>
        <w:i/>
        <w:color w:val="3737A5"/>
        <w:sz w:val="16"/>
        <w:szCs w:val="16"/>
      </w:rPr>
      <w:t xml:space="preserve"> Recommendation</w:t>
    </w:r>
    <w:r w:rsidR="00376011" w:rsidRPr="00F43822">
      <w:rPr>
        <w:rFonts w:ascii="Calibri" w:eastAsia="Times New Roman" w:hAnsi="Calibri" w:cs="Times New Roman"/>
        <w:bCs/>
        <w:i/>
        <w:color w:val="3737A5"/>
        <w:sz w:val="16"/>
        <w:szCs w:val="16"/>
      </w:rPr>
      <w:tab/>
    </w:r>
    <w:r w:rsidR="00376011" w:rsidRPr="00F43822">
      <w:rPr>
        <w:rFonts w:ascii="Calibri" w:eastAsia="Times New Roman" w:hAnsi="Calibri" w:cs="Times New Roman"/>
        <w:bCs/>
        <w:i/>
        <w:color w:val="3737A5"/>
        <w:sz w:val="16"/>
        <w:szCs w:val="16"/>
      </w:rPr>
      <w:tab/>
    </w:r>
    <w:r w:rsidR="00376011">
      <w:rPr>
        <w:rFonts w:ascii="Calibri" w:eastAsia="Times New Roman" w:hAnsi="Calibri" w:cs="Times New Roman"/>
        <w:bCs/>
        <w:i/>
        <w:color w:val="3737A5"/>
        <w:sz w:val="16"/>
        <w:szCs w:val="16"/>
      </w:rPr>
      <w:t>May 12, 2017</w:t>
    </w:r>
  </w:p>
  <w:p w:rsidR="00376011" w:rsidRPr="00F43822" w:rsidRDefault="00376011"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376011" w:rsidRDefault="00376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AE" w:rsidRDefault="00E87AAE" w:rsidP="00391997">
      <w:pPr>
        <w:spacing w:after="0" w:line="240" w:lineRule="auto"/>
      </w:pPr>
      <w:r>
        <w:separator/>
      </w:r>
    </w:p>
  </w:footnote>
  <w:footnote w:type="continuationSeparator" w:id="0">
    <w:p w:rsidR="00E87AAE" w:rsidRDefault="00E87AA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11" w:rsidRPr="00F43822" w:rsidRDefault="00376011" w:rsidP="008313F9">
    <w:pPr>
      <w:pStyle w:val="Heading2"/>
      <w:ind w:left="0"/>
      <w:jc w:val="center"/>
      <w:rPr>
        <w:sz w:val="22"/>
        <w:szCs w:val="22"/>
      </w:rPr>
    </w:pPr>
    <w:r>
      <w:rPr>
        <w:sz w:val="22"/>
        <w:szCs w:val="22"/>
      </w:rPr>
      <w:t>Oversight &amp; Responsible Agent Training - Recommendation</w:t>
    </w:r>
  </w:p>
  <w:p w:rsidR="00376011" w:rsidRDefault="00376011"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474"/>
    <w:multiLevelType w:val="hybridMultilevel"/>
    <w:tmpl w:val="CD46B6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B3891"/>
    <w:multiLevelType w:val="hybridMultilevel"/>
    <w:tmpl w:val="806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BCB0285"/>
    <w:multiLevelType w:val="hybridMultilevel"/>
    <w:tmpl w:val="7688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17B77"/>
    <w:multiLevelType w:val="hybridMultilevel"/>
    <w:tmpl w:val="A79E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041F0"/>
    <w:multiLevelType w:val="hybridMultilevel"/>
    <w:tmpl w:val="CAC43E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9A2B4D"/>
    <w:multiLevelType w:val="hybridMultilevel"/>
    <w:tmpl w:val="A5DECC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1423"/>
    <w:multiLevelType w:val="hybridMultilevel"/>
    <w:tmpl w:val="4E90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554AB"/>
    <w:rsid w:val="00060468"/>
    <w:rsid w:val="00090AAD"/>
    <w:rsid w:val="000A61D0"/>
    <w:rsid w:val="000B01A4"/>
    <w:rsid w:val="000B6559"/>
    <w:rsid w:val="000C1A49"/>
    <w:rsid w:val="000C4291"/>
    <w:rsid w:val="000C621F"/>
    <w:rsid w:val="000D1417"/>
    <w:rsid w:val="000E6FD0"/>
    <w:rsid w:val="00100A93"/>
    <w:rsid w:val="00114EF2"/>
    <w:rsid w:val="001363F7"/>
    <w:rsid w:val="001724CA"/>
    <w:rsid w:val="00172AD6"/>
    <w:rsid w:val="001866F9"/>
    <w:rsid w:val="001B0ADC"/>
    <w:rsid w:val="001B10FF"/>
    <w:rsid w:val="001B55D1"/>
    <w:rsid w:val="001B7E3A"/>
    <w:rsid w:val="00202E4C"/>
    <w:rsid w:val="00215B0B"/>
    <w:rsid w:val="0023729A"/>
    <w:rsid w:val="00243FE1"/>
    <w:rsid w:val="00261AA9"/>
    <w:rsid w:val="00266C27"/>
    <w:rsid w:val="00266F72"/>
    <w:rsid w:val="00280946"/>
    <w:rsid w:val="0028439B"/>
    <w:rsid w:val="002A7C88"/>
    <w:rsid w:val="002B085A"/>
    <w:rsid w:val="003110FB"/>
    <w:rsid w:val="00311F0E"/>
    <w:rsid w:val="00313CB7"/>
    <w:rsid w:val="0032396F"/>
    <w:rsid w:val="00376011"/>
    <w:rsid w:val="00391997"/>
    <w:rsid w:val="003B0CF5"/>
    <w:rsid w:val="003D0C3C"/>
    <w:rsid w:val="003D4FE9"/>
    <w:rsid w:val="003F057A"/>
    <w:rsid w:val="003F6839"/>
    <w:rsid w:val="004039AB"/>
    <w:rsid w:val="00427EF3"/>
    <w:rsid w:val="00435662"/>
    <w:rsid w:val="00442A3F"/>
    <w:rsid w:val="00455CA6"/>
    <w:rsid w:val="00490743"/>
    <w:rsid w:val="004A1F2F"/>
    <w:rsid w:val="004D23E6"/>
    <w:rsid w:val="004D29C1"/>
    <w:rsid w:val="004E1544"/>
    <w:rsid w:val="005407DF"/>
    <w:rsid w:val="00565923"/>
    <w:rsid w:val="005726F9"/>
    <w:rsid w:val="0057648A"/>
    <w:rsid w:val="005A0570"/>
    <w:rsid w:val="005C4213"/>
    <w:rsid w:val="005C5D7F"/>
    <w:rsid w:val="005E102D"/>
    <w:rsid w:val="005F5087"/>
    <w:rsid w:val="005F57F6"/>
    <w:rsid w:val="00623799"/>
    <w:rsid w:val="0062624C"/>
    <w:rsid w:val="0066215D"/>
    <w:rsid w:val="006B0A7E"/>
    <w:rsid w:val="006D4662"/>
    <w:rsid w:val="006D6816"/>
    <w:rsid w:val="00700DCA"/>
    <w:rsid w:val="00704A9D"/>
    <w:rsid w:val="0072153B"/>
    <w:rsid w:val="00734CA0"/>
    <w:rsid w:val="00737092"/>
    <w:rsid w:val="00753FA6"/>
    <w:rsid w:val="0077108C"/>
    <w:rsid w:val="007746E2"/>
    <w:rsid w:val="00774894"/>
    <w:rsid w:val="007765FD"/>
    <w:rsid w:val="00783B58"/>
    <w:rsid w:val="007A22DD"/>
    <w:rsid w:val="007A4A8C"/>
    <w:rsid w:val="007C063A"/>
    <w:rsid w:val="007C4334"/>
    <w:rsid w:val="007D3377"/>
    <w:rsid w:val="007F5022"/>
    <w:rsid w:val="007F58FD"/>
    <w:rsid w:val="008026DE"/>
    <w:rsid w:val="0082335C"/>
    <w:rsid w:val="008313F9"/>
    <w:rsid w:val="00835415"/>
    <w:rsid w:val="00855D6B"/>
    <w:rsid w:val="008641C6"/>
    <w:rsid w:val="00867CC7"/>
    <w:rsid w:val="00882EE9"/>
    <w:rsid w:val="008862AC"/>
    <w:rsid w:val="00891999"/>
    <w:rsid w:val="008924A8"/>
    <w:rsid w:val="008A3AC9"/>
    <w:rsid w:val="008B58EB"/>
    <w:rsid w:val="008C1FB6"/>
    <w:rsid w:val="008D5094"/>
    <w:rsid w:val="008E5F97"/>
    <w:rsid w:val="008F0634"/>
    <w:rsid w:val="008F3BCD"/>
    <w:rsid w:val="0090110E"/>
    <w:rsid w:val="00901FB6"/>
    <w:rsid w:val="009201F4"/>
    <w:rsid w:val="009264B2"/>
    <w:rsid w:val="00951A21"/>
    <w:rsid w:val="00957E83"/>
    <w:rsid w:val="00961D8A"/>
    <w:rsid w:val="0097483A"/>
    <w:rsid w:val="009805E6"/>
    <w:rsid w:val="009847C5"/>
    <w:rsid w:val="00996A51"/>
    <w:rsid w:val="009A3981"/>
    <w:rsid w:val="009D1938"/>
    <w:rsid w:val="009D45E3"/>
    <w:rsid w:val="009D71D4"/>
    <w:rsid w:val="009E1608"/>
    <w:rsid w:val="009F3552"/>
    <w:rsid w:val="00A10FC9"/>
    <w:rsid w:val="00A312E6"/>
    <w:rsid w:val="00A65F54"/>
    <w:rsid w:val="00A8431A"/>
    <w:rsid w:val="00A9291E"/>
    <w:rsid w:val="00AB307D"/>
    <w:rsid w:val="00AB71F7"/>
    <w:rsid w:val="00AF130E"/>
    <w:rsid w:val="00B11C15"/>
    <w:rsid w:val="00B23C73"/>
    <w:rsid w:val="00B27F6B"/>
    <w:rsid w:val="00B31555"/>
    <w:rsid w:val="00B340B2"/>
    <w:rsid w:val="00B376D6"/>
    <w:rsid w:val="00B52B12"/>
    <w:rsid w:val="00B54D7E"/>
    <w:rsid w:val="00B606F5"/>
    <w:rsid w:val="00B70E4E"/>
    <w:rsid w:val="00B830A1"/>
    <w:rsid w:val="00B918AD"/>
    <w:rsid w:val="00BA3A45"/>
    <w:rsid w:val="00BA5268"/>
    <w:rsid w:val="00BC0B03"/>
    <w:rsid w:val="00BC0F10"/>
    <w:rsid w:val="00BC23E1"/>
    <w:rsid w:val="00BF6BBC"/>
    <w:rsid w:val="00C3511A"/>
    <w:rsid w:val="00C815BB"/>
    <w:rsid w:val="00C84E2C"/>
    <w:rsid w:val="00CC21E4"/>
    <w:rsid w:val="00CC30A8"/>
    <w:rsid w:val="00D06DEE"/>
    <w:rsid w:val="00D11D47"/>
    <w:rsid w:val="00D22E65"/>
    <w:rsid w:val="00D45C4B"/>
    <w:rsid w:val="00D55AB2"/>
    <w:rsid w:val="00D7066D"/>
    <w:rsid w:val="00D7363D"/>
    <w:rsid w:val="00D75C2B"/>
    <w:rsid w:val="00D926ED"/>
    <w:rsid w:val="00D92BBB"/>
    <w:rsid w:val="00DA287B"/>
    <w:rsid w:val="00DB0510"/>
    <w:rsid w:val="00DB0A97"/>
    <w:rsid w:val="00DB6D9F"/>
    <w:rsid w:val="00DC4C53"/>
    <w:rsid w:val="00DC4C91"/>
    <w:rsid w:val="00DC7AF7"/>
    <w:rsid w:val="00DD1A10"/>
    <w:rsid w:val="00DD6740"/>
    <w:rsid w:val="00DD6BA5"/>
    <w:rsid w:val="00DE0ABD"/>
    <w:rsid w:val="00E12499"/>
    <w:rsid w:val="00E568F1"/>
    <w:rsid w:val="00E818ED"/>
    <w:rsid w:val="00E84C44"/>
    <w:rsid w:val="00E874FB"/>
    <w:rsid w:val="00E87AAE"/>
    <w:rsid w:val="00E9081E"/>
    <w:rsid w:val="00E96CEA"/>
    <w:rsid w:val="00EC03A5"/>
    <w:rsid w:val="00EC2D09"/>
    <w:rsid w:val="00EC7195"/>
    <w:rsid w:val="00EE0743"/>
    <w:rsid w:val="00EF5FDA"/>
    <w:rsid w:val="00F046BC"/>
    <w:rsid w:val="00F0521E"/>
    <w:rsid w:val="00F064FE"/>
    <w:rsid w:val="00F0763F"/>
    <w:rsid w:val="00F10249"/>
    <w:rsid w:val="00F27CF2"/>
    <w:rsid w:val="00F43822"/>
    <w:rsid w:val="00F53AC3"/>
    <w:rsid w:val="00F77759"/>
    <w:rsid w:val="00FB5787"/>
    <w:rsid w:val="00FB6B43"/>
    <w:rsid w:val="00FC1FA5"/>
    <w:rsid w:val="00FD57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8F592-E190-4102-B9E6-14E1B258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AC"/>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2A7C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420">
      <w:bodyDiv w:val="1"/>
      <w:marLeft w:val="0"/>
      <w:marRight w:val="0"/>
      <w:marTop w:val="0"/>
      <w:marBottom w:val="0"/>
      <w:divBdr>
        <w:top w:val="none" w:sz="0" w:space="0" w:color="auto"/>
        <w:left w:val="none" w:sz="0" w:space="0" w:color="auto"/>
        <w:bottom w:val="none" w:sz="0" w:space="0" w:color="auto"/>
        <w:right w:val="none" w:sz="0" w:space="0" w:color="auto"/>
      </w:divBdr>
    </w:div>
    <w:div w:id="1672175586">
      <w:bodyDiv w:val="1"/>
      <w:marLeft w:val="0"/>
      <w:marRight w:val="0"/>
      <w:marTop w:val="0"/>
      <w:marBottom w:val="0"/>
      <w:divBdr>
        <w:top w:val="none" w:sz="0" w:space="0" w:color="auto"/>
        <w:left w:val="none" w:sz="0" w:space="0" w:color="auto"/>
        <w:bottom w:val="none" w:sz="0" w:space="0" w:color="auto"/>
        <w:right w:val="none" w:sz="0" w:space="0" w:color="auto"/>
      </w:divBdr>
    </w:div>
    <w:div w:id="2007829698">
      <w:bodyDiv w:val="1"/>
      <w:marLeft w:val="0"/>
      <w:marRight w:val="0"/>
      <w:marTop w:val="0"/>
      <w:marBottom w:val="0"/>
      <w:divBdr>
        <w:top w:val="none" w:sz="0" w:space="0" w:color="auto"/>
        <w:left w:val="none" w:sz="0" w:space="0" w:color="auto"/>
        <w:bottom w:val="none" w:sz="0" w:space="0" w:color="auto"/>
        <w:right w:val="none" w:sz="0" w:space="0" w:color="auto"/>
      </w:divBdr>
    </w:div>
    <w:div w:id="21234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345B-970E-4B52-9C30-32EA8A3B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10</cp:revision>
  <cp:lastPrinted>2017-04-21T17:09:00Z</cp:lastPrinted>
  <dcterms:created xsi:type="dcterms:W3CDTF">2017-05-04T19:32:00Z</dcterms:created>
  <dcterms:modified xsi:type="dcterms:W3CDTF">2017-05-04T23:24:00Z</dcterms:modified>
</cp:coreProperties>
</file>